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27" w:rsidRDefault="00614E27" w:rsidP="00895046">
      <w:pPr>
        <w:spacing w:line="240" w:lineRule="auto"/>
        <w:rPr>
          <w:rFonts w:ascii="Times New Roman" w:hAnsi="Times New Roman" w:cs="Times New Roman"/>
          <w:b/>
          <w:sz w:val="24"/>
          <w:szCs w:val="24"/>
        </w:rPr>
      </w:pPr>
      <w:bookmarkStart w:id="0" w:name="_GoBack"/>
      <w:bookmarkEnd w:id="0"/>
    </w:p>
    <w:p w:rsidR="00D858E1" w:rsidRPr="00037C0B" w:rsidRDefault="00037C0B" w:rsidP="00D858E1">
      <w:pPr>
        <w:spacing w:line="240" w:lineRule="auto"/>
        <w:jc w:val="center"/>
        <w:rPr>
          <w:rFonts w:ascii="Times New Roman" w:hAnsi="Times New Roman" w:cs="Times New Roman"/>
          <w:b/>
          <w:sz w:val="24"/>
          <w:szCs w:val="24"/>
        </w:rPr>
      </w:pPr>
      <w:r w:rsidRPr="00037C0B">
        <w:rPr>
          <w:rFonts w:ascii="Times New Roman" w:hAnsi="Times New Roman" w:cs="Times New Roman"/>
          <w:b/>
          <w:sz w:val="24"/>
          <w:szCs w:val="24"/>
        </w:rPr>
        <w:t>202</w:t>
      </w:r>
      <w:r w:rsidR="00BE4117">
        <w:rPr>
          <w:rFonts w:ascii="Times New Roman" w:hAnsi="Times New Roman" w:cs="Times New Roman"/>
          <w:b/>
          <w:sz w:val="24"/>
          <w:szCs w:val="24"/>
        </w:rPr>
        <w:t>3</w:t>
      </w:r>
      <w:r w:rsidRPr="00037C0B">
        <w:rPr>
          <w:rFonts w:ascii="Times New Roman" w:hAnsi="Times New Roman" w:cs="Times New Roman"/>
          <w:b/>
          <w:sz w:val="24"/>
          <w:szCs w:val="24"/>
        </w:rPr>
        <w:t xml:space="preserve"> YILI SOSYAL GELİŞMEYİ DESTEKLEME PROGRAMI(SOGEP)</w:t>
      </w:r>
    </w:p>
    <w:p w:rsidR="00BE4117" w:rsidRPr="006E7B2A" w:rsidRDefault="00D858E1" w:rsidP="006E7B2A">
      <w:pPr>
        <w:spacing w:line="240" w:lineRule="auto"/>
        <w:jc w:val="both"/>
        <w:rPr>
          <w:rFonts w:ascii="Times New Roman" w:hAnsi="Times New Roman" w:cs="Times New Roman"/>
          <w:sz w:val="24"/>
          <w:szCs w:val="24"/>
        </w:rPr>
      </w:pPr>
      <w:r w:rsidRPr="00D858E1">
        <w:rPr>
          <w:rFonts w:ascii="Times New Roman" w:hAnsi="Times New Roman" w:cs="Times New Roman"/>
          <w:sz w:val="24"/>
          <w:szCs w:val="24"/>
        </w:rPr>
        <w:t xml:space="preserve">SOGEP,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 istihdam edilebilirliği artırmak, sosyal içermeyi, sosyal girişimciliği ve yenilikçiliği desteklemek ve sosyal sorumluluk uygulamalarını yaygınlaştırmak amacıyla hazırlanan bir programdır. </w:t>
      </w:r>
    </w:p>
    <w:p w:rsidR="006E7B2A" w:rsidRPr="00037C0B" w:rsidRDefault="006E7B2A" w:rsidP="006E7B2A">
      <w:pPr>
        <w:spacing w:line="240" w:lineRule="auto"/>
        <w:jc w:val="center"/>
        <w:rPr>
          <w:rFonts w:ascii="Times New Roman" w:hAnsi="Times New Roman" w:cs="Times New Roman"/>
          <w:b/>
          <w:sz w:val="24"/>
          <w:szCs w:val="24"/>
        </w:rPr>
      </w:pPr>
      <w:r w:rsidRPr="00037C0B">
        <w:rPr>
          <w:rFonts w:ascii="Times New Roman" w:hAnsi="Times New Roman" w:cs="Times New Roman"/>
          <w:b/>
          <w:sz w:val="24"/>
          <w:szCs w:val="24"/>
        </w:rPr>
        <w:t>SOGEP ÖNCELİKLERİ</w:t>
      </w:r>
    </w:p>
    <w:p w:rsidR="006E7B2A" w:rsidRPr="00037C0B" w:rsidRDefault="006E7B2A" w:rsidP="006E7B2A">
      <w:pPr>
        <w:pStyle w:val="ListeParagraf"/>
        <w:numPr>
          <w:ilvl w:val="0"/>
          <w:numId w:val="2"/>
        </w:numPr>
        <w:jc w:val="both"/>
        <w:rPr>
          <w:b/>
        </w:rPr>
      </w:pPr>
      <w:r w:rsidRPr="00D858E1">
        <w:rPr>
          <w:b/>
        </w:rPr>
        <w:t xml:space="preserve">İstihdam Edilebilirliği Artırmak </w:t>
      </w:r>
    </w:p>
    <w:p w:rsidR="006E7B2A" w:rsidRPr="00D858E1" w:rsidRDefault="006E7B2A" w:rsidP="006E7B2A">
      <w:pPr>
        <w:pStyle w:val="ListeParagraf"/>
        <w:numPr>
          <w:ilvl w:val="0"/>
          <w:numId w:val="5"/>
        </w:numPr>
        <w:spacing w:before="240"/>
        <w:jc w:val="both"/>
        <w:rPr>
          <w:b/>
        </w:rPr>
      </w:pPr>
      <w:r w:rsidRPr="00D858E1">
        <w:t xml:space="preserve">Toplumun dezavantajlı kesimlerinin istihdama katılımının kolaylaştırılmasına ve mesleki bilgi ve becerilerinin geliştirilmesine, </w:t>
      </w:r>
    </w:p>
    <w:p w:rsidR="006E7B2A" w:rsidRPr="00D858E1" w:rsidRDefault="006E7B2A" w:rsidP="006E7B2A">
      <w:pPr>
        <w:pStyle w:val="ListeParagraf"/>
        <w:numPr>
          <w:ilvl w:val="0"/>
          <w:numId w:val="5"/>
        </w:numPr>
        <w:spacing w:before="240"/>
        <w:jc w:val="both"/>
        <w:rPr>
          <w:b/>
        </w:rPr>
      </w:pPr>
      <w:r w:rsidRPr="00D858E1">
        <w:t xml:space="preserve">Genç istihdamını artırmaya, </w:t>
      </w:r>
    </w:p>
    <w:p w:rsidR="006E7B2A" w:rsidRPr="00D858E1" w:rsidRDefault="006E7B2A" w:rsidP="006E7B2A">
      <w:pPr>
        <w:pStyle w:val="ListeParagraf"/>
        <w:numPr>
          <w:ilvl w:val="0"/>
          <w:numId w:val="5"/>
        </w:numPr>
        <w:spacing w:before="240"/>
        <w:jc w:val="both"/>
        <w:rPr>
          <w:b/>
        </w:rPr>
      </w:pPr>
      <w:r w:rsidRPr="00D858E1">
        <w:t xml:space="preserve">İldeki ve bölgedeki ihtiyaçlara uygun alanlarda nitelikli ve üretken beşerî sermayenin geliştirilmesine yönelik projeler. </w:t>
      </w:r>
    </w:p>
    <w:p w:rsidR="006E7B2A" w:rsidRDefault="006E7B2A" w:rsidP="006E7B2A">
      <w:pPr>
        <w:spacing w:after="0" w:line="240" w:lineRule="auto"/>
        <w:jc w:val="both"/>
        <w:rPr>
          <w:rFonts w:ascii="Times New Roman" w:hAnsi="Times New Roman" w:cs="Times New Roman"/>
          <w:sz w:val="24"/>
          <w:szCs w:val="24"/>
        </w:rPr>
      </w:pPr>
    </w:p>
    <w:p w:rsidR="006E7B2A" w:rsidRPr="00037C0B" w:rsidRDefault="006E7B2A" w:rsidP="006E7B2A">
      <w:pPr>
        <w:pStyle w:val="ListeParagraf"/>
        <w:numPr>
          <w:ilvl w:val="0"/>
          <w:numId w:val="2"/>
        </w:numPr>
        <w:jc w:val="both"/>
        <w:rPr>
          <w:b/>
        </w:rPr>
      </w:pPr>
      <w:r w:rsidRPr="00D858E1">
        <w:rPr>
          <w:b/>
        </w:rPr>
        <w:t xml:space="preserve">Sosyal Girişimcilik ve Yenilikçilik </w:t>
      </w:r>
    </w:p>
    <w:p w:rsidR="006E7B2A" w:rsidRDefault="006E7B2A" w:rsidP="006E7B2A">
      <w:pPr>
        <w:pStyle w:val="ListeParagraf"/>
        <w:numPr>
          <w:ilvl w:val="0"/>
          <w:numId w:val="3"/>
        </w:numPr>
        <w:jc w:val="both"/>
      </w:pPr>
      <w:r w:rsidRPr="00D858E1">
        <w:t xml:space="preserve">Sosyal girişimlerin kurulmasına ve kapasitelerinin artırılmasına, </w:t>
      </w:r>
    </w:p>
    <w:p w:rsidR="006E7B2A" w:rsidRDefault="006E7B2A" w:rsidP="006E7B2A">
      <w:pPr>
        <w:pStyle w:val="ListeParagraf"/>
        <w:numPr>
          <w:ilvl w:val="0"/>
          <w:numId w:val="3"/>
        </w:numPr>
        <w:jc w:val="both"/>
      </w:pPr>
      <w:r w:rsidRPr="00D858E1">
        <w:t>İstihdam edilebilirliğe ve sosyal içermeye ilişkin yenilik</w:t>
      </w:r>
      <w:r>
        <w:t xml:space="preserve">çi modeller geliştirilmesine, </w:t>
      </w:r>
    </w:p>
    <w:p w:rsidR="006E7B2A" w:rsidRPr="00D858E1" w:rsidRDefault="006E7B2A" w:rsidP="006E7B2A">
      <w:pPr>
        <w:pStyle w:val="ListeParagraf"/>
        <w:numPr>
          <w:ilvl w:val="0"/>
          <w:numId w:val="3"/>
        </w:numPr>
        <w:jc w:val="both"/>
      </w:pPr>
      <w:r w:rsidRPr="00D858E1">
        <w:t>Sosyal girişimcilik ve sosyal yenilikçilik alanlarında</w:t>
      </w:r>
      <w:r w:rsidR="00BE4117">
        <w:t xml:space="preserve"> hizmet veren/verecek olan</w:t>
      </w:r>
      <w:r w:rsidRPr="00D858E1">
        <w:t xml:space="preserve"> kuru</w:t>
      </w:r>
      <w:r w:rsidR="00BE4117">
        <w:t>luş</w:t>
      </w:r>
      <w:r w:rsidRPr="00D858E1">
        <w:t xml:space="preserve">ların işleteceği, ekosistem güçlendirmeye yönelik merkezler, sosyal laboratuvarlar ile kuluçka ve hızlandırıcı programların uygulanmasına yönelik projeler. </w:t>
      </w:r>
    </w:p>
    <w:p w:rsidR="006E7B2A" w:rsidRDefault="006E7B2A" w:rsidP="006E7B2A">
      <w:pPr>
        <w:jc w:val="both"/>
      </w:pPr>
    </w:p>
    <w:p w:rsidR="006E7B2A" w:rsidRPr="00037C0B" w:rsidRDefault="006E7B2A" w:rsidP="006E7B2A">
      <w:pPr>
        <w:pStyle w:val="ListeParagraf"/>
        <w:numPr>
          <w:ilvl w:val="0"/>
          <w:numId w:val="2"/>
        </w:numPr>
        <w:jc w:val="both"/>
        <w:rPr>
          <w:b/>
        </w:rPr>
      </w:pPr>
      <w:r w:rsidRPr="00D858E1">
        <w:rPr>
          <w:b/>
        </w:rPr>
        <w:t>Sosyal İçerme</w:t>
      </w:r>
    </w:p>
    <w:p w:rsidR="006E7B2A" w:rsidRDefault="006E7B2A" w:rsidP="006E7B2A">
      <w:pPr>
        <w:pStyle w:val="ListeParagraf"/>
        <w:numPr>
          <w:ilvl w:val="0"/>
          <w:numId w:val="6"/>
        </w:numPr>
        <w:jc w:val="both"/>
      </w:pPr>
      <w:r w:rsidRPr="00D858E1">
        <w:t>Sosyal yardım alan kesimin g</w:t>
      </w:r>
      <w:r>
        <w:t xml:space="preserve">elir düzeyinin artırılmasına, </w:t>
      </w:r>
    </w:p>
    <w:p w:rsidR="006E7B2A" w:rsidRDefault="006E7B2A" w:rsidP="006E7B2A">
      <w:pPr>
        <w:pStyle w:val="ListeParagraf"/>
        <w:numPr>
          <w:ilvl w:val="0"/>
          <w:numId w:val="6"/>
        </w:numPr>
        <w:jc w:val="both"/>
      </w:pPr>
      <w:r w:rsidRPr="00D858E1">
        <w:t>Toplumun dezavantajlı kesimlerinin yaşam k</w:t>
      </w:r>
      <w:r>
        <w:t>alitelerinin yükseltilmesine,</w:t>
      </w:r>
    </w:p>
    <w:p w:rsidR="00BE4117" w:rsidRDefault="006E7B2A" w:rsidP="006E7B2A">
      <w:pPr>
        <w:pStyle w:val="ListeParagraf"/>
        <w:numPr>
          <w:ilvl w:val="0"/>
          <w:numId w:val="6"/>
        </w:numPr>
        <w:jc w:val="both"/>
      </w:pPr>
      <w:r w:rsidRPr="00D858E1">
        <w:t xml:space="preserve">Dezavantajlı kesimlere sunulan hizmetlerin kalitesinin artırılmasına </w:t>
      </w:r>
    </w:p>
    <w:p w:rsidR="006E7B2A" w:rsidRDefault="00BE4117" w:rsidP="006E7B2A">
      <w:pPr>
        <w:pStyle w:val="ListeParagraf"/>
        <w:numPr>
          <w:ilvl w:val="0"/>
          <w:numId w:val="6"/>
        </w:numPr>
        <w:jc w:val="both"/>
      </w:pPr>
      <w:r>
        <w:t xml:space="preserve">Dezavantajlı çocuk ve gençlerin yetenek gelişimi ve teknoloji kullanma becerilerinin geliştirilmesine </w:t>
      </w:r>
      <w:r w:rsidR="006E7B2A" w:rsidRPr="00D858E1">
        <w:t xml:space="preserve">yönelik yenilikçi ve model nitelikli projeler. </w:t>
      </w:r>
    </w:p>
    <w:p w:rsidR="006E7B2A" w:rsidRDefault="006E7B2A" w:rsidP="006E7B2A">
      <w:pPr>
        <w:jc w:val="both"/>
      </w:pPr>
    </w:p>
    <w:p w:rsidR="006E7B2A" w:rsidRPr="00037C0B" w:rsidRDefault="006E7B2A" w:rsidP="006E7B2A">
      <w:pPr>
        <w:pStyle w:val="ListeParagraf"/>
        <w:numPr>
          <w:ilvl w:val="0"/>
          <w:numId w:val="2"/>
        </w:numPr>
        <w:jc w:val="both"/>
        <w:rPr>
          <w:b/>
        </w:rPr>
      </w:pPr>
      <w:r w:rsidRPr="00037C0B">
        <w:rPr>
          <w:b/>
        </w:rPr>
        <w:t xml:space="preserve">Sosyal Sorumluluk </w:t>
      </w:r>
    </w:p>
    <w:p w:rsidR="006E7B2A" w:rsidRDefault="006E7B2A" w:rsidP="006E7B2A">
      <w:pPr>
        <w:pStyle w:val="ListeParagraf"/>
        <w:numPr>
          <w:ilvl w:val="0"/>
          <w:numId w:val="8"/>
        </w:numPr>
        <w:jc w:val="both"/>
      </w:pPr>
      <w:r w:rsidRPr="00037C0B">
        <w:t>Bölge öncelikleriyle kâr amacı güden kesimin sosyal sorumluluk faaliyetlerini uyu</w:t>
      </w:r>
      <w:r>
        <w:t>mlaştırmaya,</w:t>
      </w:r>
    </w:p>
    <w:p w:rsidR="006E7B2A" w:rsidRDefault="006E7B2A" w:rsidP="006E7B2A">
      <w:pPr>
        <w:pStyle w:val="ListeParagraf"/>
        <w:numPr>
          <w:ilvl w:val="0"/>
          <w:numId w:val="8"/>
        </w:numPr>
        <w:jc w:val="both"/>
      </w:pPr>
      <w:r w:rsidRPr="00037C0B">
        <w:t xml:space="preserve">Program öncelik alanlarına ve/veya tespit edilen farklı sosyal bir sorunun çözümüne yönelik yenilikçi ve model nitelikli projeler. </w:t>
      </w:r>
    </w:p>
    <w:p w:rsidR="006E7B2A" w:rsidRDefault="006E7B2A" w:rsidP="006E7B2A">
      <w:pPr>
        <w:rPr>
          <w:rFonts w:ascii="Times New Roman" w:hAnsi="Times New Roman" w:cs="Times New Roman"/>
          <w:b/>
          <w:sz w:val="24"/>
          <w:szCs w:val="24"/>
        </w:rPr>
      </w:pPr>
    </w:p>
    <w:p w:rsidR="006E7B2A" w:rsidRPr="00037C0B" w:rsidRDefault="006E7B2A" w:rsidP="006E7B2A">
      <w:pPr>
        <w:spacing w:line="240" w:lineRule="auto"/>
        <w:jc w:val="center"/>
        <w:rPr>
          <w:rFonts w:ascii="Times New Roman" w:hAnsi="Times New Roman" w:cs="Times New Roman"/>
          <w:b/>
          <w:sz w:val="24"/>
          <w:szCs w:val="24"/>
        </w:rPr>
      </w:pPr>
      <w:r w:rsidRPr="00037C0B">
        <w:rPr>
          <w:rFonts w:ascii="Times New Roman" w:hAnsi="Times New Roman" w:cs="Times New Roman"/>
          <w:b/>
          <w:sz w:val="24"/>
          <w:szCs w:val="24"/>
        </w:rPr>
        <w:t>BAŞVURU SAHİBİ</w:t>
      </w:r>
    </w:p>
    <w:p w:rsidR="006E7B2A" w:rsidRDefault="006E7B2A" w:rsidP="006E7B2A">
      <w:pPr>
        <w:spacing w:line="240" w:lineRule="auto"/>
        <w:jc w:val="both"/>
        <w:rPr>
          <w:rFonts w:ascii="Times New Roman" w:hAnsi="Times New Roman" w:cs="Times New Roman"/>
          <w:sz w:val="24"/>
          <w:szCs w:val="24"/>
        </w:rPr>
      </w:pPr>
      <w:r w:rsidRPr="00D858E1">
        <w:rPr>
          <w:rFonts w:ascii="Times New Roman" w:hAnsi="Times New Roman" w:cs="Times New Roman"/>
          <w:sz w:val="24"/>
          <w:szCs w:val="24"/>
        </w:rPr>
        <w:t xml:space="preserve">Kâr amacı gütmeyen veya belirli ölçüde kamu yararı gözeten,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(öncelik 4) için özel kesim kuruluşları bu program kapsamında başvuru sahibi ve proje ortağı olabilir. </w:t>
      </w:r>
    </w:p>
    <w:p w:rsidR="009D66C0" w:rsidRPr="006E7B2A" w:rsidRDefault="009D66C0" w:rsidP="006E7B2A">
      <w:pPr>
        <w:spacing w:line="240" w:lineRule="auto"/>
        <w:jc w:val="both"/>
        <w:rPr>
          <w:rFonts w:ascii="Times New Roman" w:hAnsi="Times New Roman" w:cs="Times New Roman"/>
          <w:sz w:val="24"/>
          <w:szCs w:val="24"/>
        </w:rPr>
      </w:pPr>
    </w:p>
    <w:p w:rsidR="006E7B2A" w:rsidRPr="000A7C51" w:rsidRDefault="006E7B2A" w:rsidP="006E7B2A">
      <w:pPr>
        <w:spacing w:line="240" w:lineRule="auto"/>
        <w:jc w:val="center"/>
        <w:rPr>
          <w:rFonts w:ascii="Times New Roman" w:hAnsi="Times New Roman" w:cs="Times New Roman"/>
          <w:b/>
          <w:sz w:val="24"/>
          <w:szCs w:val="24"/>
        </w:rPr>
      </w:pPr>
      <w:r w:rsidRPr="00037C0B">
        <w:rPr>
          <w:rFonts w:ascii="Times New Roman" w:hAnsi="Times New Roman" w:cs="Times New Roman"/>
          <w:b/>
          <w:sz w:val="24"/>
          <w:szCs w:val="24"/>
        </w:rPr>
        <w:lastRenderedPageBreak/>
        <w:t>PROJE BÜTÇESİ</w:t>
      </w:r>
    </w:p>
    <w:tbl>
      <w:tblPr>
        <w:tblW w:w="88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4"/>
        <w:gridCol w:w="4484"/>
      </w:tblGrid>
      <w:tr w:rsidR="006E7B2A" w:rsidRPr="000D2B6B" w:rsidTr="006E7B2A">
        <w:trPr>
          <w:trHeight w:val="181"/>
          <w:jc w:val="center"/>
        </w:trPr>
        <w:tc>
          <w:tcPr>
            <w:tcW w:w="8868" w:type="dxa"/>
            <w:gridSpan w:val="2"/>
            <w:shd w:val="clear" w:color="auto" w:fill="A6A6A6" w:themeFill="background1" w:themeFillShade="A6"/>
            <w:vAlign w:val="center"/>
          </w:tcPr>
          <w:p w:rsidR="006E7B2A" w:rsidRPr="000D2B6B" w:rsidRDefault="006E7B2A" w:rsidP="000D3E2E">
            <w:pPr>
              <w:spacing w:before="60" w:afterLines="60" w:after="144" w:line="240" w:lineRule="auto"/>
              <w:jc w:val="center"/>
              <w:rPr>
                <w:rFonts w:ascii="Times New Roman" w:hAnsi="Times New Roman"/>
                <w:b/>
                <w:lang w:bidi="en-US"/>
              </w:rPr>
            </w:pPr>
            <w:r w:rsidRPr="000D2B6B">
              <w:rPr>
                <w:rFonts w:ascii="Times New Roman" w:hAnsi="Times New Roman"/>
                <w:b/>
                <w:lang w:bidi="en-US"/>
              </w:rPr>
              <w:t>Kâr Amacı Gütmeyen Kurum ve Kuruluşlar</w:t>
            </w:r>
          </w:p>
        </w:tc>
      </w:tr>
      <w:tr w:rsidR="006E7B2A" w:rsidRPr="000D2B6B" w:rsidTr="006E7B2A">
        <w:trPr>
          <w:trHeight w:val="267"/>
          <w:jc w:val="center"/>
        </w:trPr>
        <w:tc>
          <w:tcPr>
            <w:tcW w:w="4384" w:type="dxa"/>
            <w:shd w:val="clear" w:color="auto" w:fill="auto"/>
            <w:vAlign w:val="center"/>
          </w:tcPr>
          <w:p w:rsidR="006E7B2A" w:rsidRPr="000D2B6B" w:rsidRDefault="006E7B2A" w:rsidP="000D3E2E">
            <w:pPr>
              <w:spacing w:before="60" w:afterLines="60" w:after="144"/>
              <w:jc w:val="center"/>
              <w:rPr>
                <w:rFonts w:ascii="Times New Roman" w:hAnsi="Times New Roman"/>
              </w:rPr>
            </w:pPr>
            <w:r w:rsidRPr="000D2B6B">
              <w:rPr>
                <w:rFonts w:ascii="Times New Roman" w:hAnsi="Times New Roman"/>
              </w:rPr>
              <w:t>Asgari Tutar: 1.000.000 TL</w:t>
            </w:r>
          </w:p>
        </w:tc>
        <w:tc>
          <w:tcPr>
            <w:tcW w:w="4484" w:type="dxa"/>
            <w:shd w:val="clear" w:color="auto" w:fill="auto"/>
            <w:vAlign w:val="center"/>
          </w:tcPr>
          <w:p w:rsidR="006E7B2A" w:rsidRPr="000D2B6B" w:rsidRDefault="006E7B2A" w:rsidP="000D3E2E">
            <w:pPr>
              <w:spacing w:before="60" w:afterLines="60" w:after="144" w:line="240" w:lineRule="auto"/>
              <w:jc w:val="center"/>
              <w:rPr>
                <w:rFonts w:ascii="Times New Roman" w:hAnsi="Times New Roman"/>
              </w:rPr>
            </w:pPr>
            <w:r w:rsidRPr="000D2B6B">
              <w:rPr>
                <w:rFonts w:ascii="Times New Roman" w:hAnsi="Times New Roman"/>
              </w:rPr>
              <w:t>Azami Destek Oranı:  % 90</w:t>
            </w:r>
          </w:p>
        </w:tc>
      </w:tr>
      <w:tr w:rsidR="006E7B2A" w:rsidRPr="000D2B6B" w:rsidTr="006E7B2A">
        <w:trPr>
          <w:trHeight w:val="211"/>
          <w:jc w:val="center"/>
        </w:trPr>
        <w:tc>
          <w:tcPr>
            <w:tcW w:w="8868" w:type="dxa"/>
            <w:gridSpan w:val="2"/>
            <w:shd w:val="clear" w:color="auto" w:fill="A6A6A6" w:themeFill="background1" w:themeFillShade="A6"/>
            <w:vAlign w:val="center"/>
          </w:tcPr>
          <w:p w:rsidR="006E7B2A" w:rsidRPr="000D2B6B" w:rsidRDefault="006E7B2A" w:rsidP="000D3E2E">
            <w:pPr>
              <w:spacing w:before="60" w:afterLines="60" w:after="144" w:line="240" w:lineRule="auto"/>
              <w:jc w:val="center"/>
              <w:rPr>
                <w:rFonts w:ascii="Times New Roman" w:hAnsi="Times New Roman"/>
                <w:b/>
                <w:lang w:bidi="en-US"/>
              </w:rPr>
            </w:pPr>
            <w:r w:rsidRPr="000D2B6B">
              <w:rPr>
                <w:rFonts w:ascii="Times New Roman" w:hAnsi="Times New Roman"/>
                <w:b/>
                <w:lang w:bidi="en-US"/>
              </w:rPr>
              <w:t>Kâr Amacı Güden Kuruluşlar</w:t>
            </w:r>
          </w:p>
        </w:tc>
      </w:tr>
      <w:tr w:rsidR="006E7B2A" w:rsidRPr="000D2B6B" w:rsidTr="006E7B2A">
        <w:trPr>
          <w:trHeight w:val="252"/>
          <w:jc w:val="center"/>
        </w:trPr>
        <w:tc>
          <w:tcPr>
            <w:tcW w:w="4384" w:type="dxa"/>
            <w:shd w:val="clear" w:color="auto" w:fill="auto"/>
            <w:vAlign w:val="center"/>
          </w:tcPr>
          <w:p w:rsidR="006E7B2A" w:rsidRPr="000D2B6B" w:rsidRDefault="006E7B2A" w:rsidP="000D3E2E">
            <w:pPr>
              <w:spacing w:before="60" w:afterLines="60" w:after="144"/>
              <w:jc w:val="center"/>
              <w:rPr>
                <w:rFonts w:ascii="Times New Roman" w:hAnsi="Times New Roman"/>
              </w:rPr>
            </w:pPr>
            <w:r w:rsidRPr="000D2B6B">
              <w:rPr>
                <w:rFonts w:ascii="Times New Roman" w:hAnsi="Times New Roman"/>
              </w:rPr>
              <w:t>Asgari Tutar: 1.000.000 TL</w:t>
            </w:r>
          </w:p>
        </w:tc>
        <w:tc>
          <w:tcPr>
            <w:tcW w:w="4484" w:type="dxa"/>
            <w:shd w:val="clear" w:color="auto" w:fill="auto"/>
            <w:vAlign w:val="center"/>
          </w:tcPr>
          <w:p w:rsidR="006E7B2A" w:rsidRPr="000D2B6B" w:rsidRDefault="006E7B2A" w:rsidP="000D3E2E">
            <w:pPr>
              <w:spacing w:before="60" w:afterLines="60" w:after="144" w:line="240" w:lineRule="auto"/>
              <w:jc w:val="center"/>
              <w:rPr>
                <w:rFonts w:ascii="Times New Roman" w:hAnsi="Times New Roman"/>
              </w:rPr>
            </w:pPr>
            <w:r w:rsidRPr="000D2B6B">
              <w:rPr>
                <w:rFonts w:ascii="Times New Roman" w:hAnsi="Times New Roman"/>
              </w:rPr>
              <w:t>Azami Destek Oranı:  % 50</w:t>
            </w:r>
          </w:p>
        </w:tc>
      </w:tr>
    </w:tbl>
    <w:p w:rsidR="00783B12" w:rsidRDefault="00783B12" w:rsidP="00783B12">
      <w:pPr>
        <w:jc w:val="center"/>
        <w:rPr>
          <w:rFonts w:ascii="Times New Roman" w:hAnsi="Times New Roman" w:cs="Times New Roman"/>
          <w:b/>
          <w:sz w:val="24"/>
          <w:szCs w:val="24"/>
        </w:rPr>
      </w:pPr>
    </w:p>
    <w:p w:rsidR="00783B12" w:rsidRPr="00783B12" w:rsidRDefault="00783B12" w:rsidP="00783B12">
      <w:pPr>
        <w:jc w:val="center"/>
        <w:rPr>
          <w:rFonts w:ascii="Times New Roman" w:hAnsi="Times New Roman" w:cs="Times New Roman"/>
          <w:b/>
          <w:sz w:val="24"/>
          <w:szCs w:val="24"/>
        </w:rPr>
      </w:pPr>
      <w:r>
        <w:rPr>
          <w:rFonts w:ascii="Times New Roman" w:hAnsi="Times New Roman" w:cs="Times New Roman"/>
          <w:b/>
          <w:sz w:val="24"/>
          <w:szCs w:val="24"/>
        </w:rPr>
        <w:t>PROJE SÜRESİ VE YERİ</w:t>
      </w:r>
    </w:p>
    <w:p w:rsidR="00783B12" w:rsidRPr="00783B12" w:rsidRDefault="00783B12" w:rsidP="00651C09">
      <w:pPr>
        <w:rPr>
          <w:rFonts w:ascii="Times New Roman" w:hAnsi="Times New Roman" w:cs="Times New Roman"/>
          <w:sz w:val="24"/>
          <w:szCs w:val="24"/>
        </w:rPr>
      </w:pPr>
      <w:r w:rsidRPr="00783B12">
        <w:rPr>
          <w:rFonts w:ascii="Times New Roman" w:hAnsi="Times New Roman" w:cs="Times New Roman"/>
          <w:sz w:val="24"/>
          <w:szCs w:val="24"/>
        </w:rPr>
        <w:t xml:space="preserve">Desteklenecek projelerin süresi </w:t>
      </w:r>
      <w:r w:rsidRPr="000E5BA4">
        <w:rPr>
          <w:rFonts w:ascii="Times New Roman" w:hAnsi="Times New Roman" w:cs="Times New Roman"/>
          <w:b/>
          <w:sz w:val="24"/>
          <w:szCs w:val="24"/>
          <w:u w:val="single"/>
        </w:rPr>
        <w:t>en fazla 18 aydır.</w:t>
      </w:r>
    </w:p>
    <w:p w:rsidR="006E7B2A" w:rsidRPr="00783B12" w:rsidRDefault="00783B12" w:rsidP="00783B12">
      <w:pPr>
        <w:jc w:val="both"/>
        <w:rPr>
          <w:rFonts w:ascii="Times New Roman" w:hAnsi="Times New Roman" w:cs="Times New Roman"/>
          <w:sz w:val="24"/>
          <w:szCs w:val="24"/>
        </w:rPr>
      </w:pPr>
      <w:r w:rsidRPr="00783B12">
        <w:rPr>
          <w:rFonts w:ascii="Times New Roman" w:hAnsi="Times New Roman" w:cs="Times New Roman"/>
          <w:sz w:val="24"/>
          <w:szCs w:val="24"/>
        </w:rPr>
        <w:t>Projeler, Ajansın faaliyet gösterdiği TRC1 Bölgesi (Gaziantep, Adıyaman ve Kilis) illerinde uygulanmalıdır.</w:t>
      </w:r>
    </w:p>
    <w:p w:rsidR="00D858E1" w:rsidRPr="00037C0B" w:rsidRDefault="00D858E1" w:rsidP="00D858E1">
      <w:pPr>
        <w:jc w:val="center"/>
        <w:rPr>
          <w:rFonts w:ascii="Times New Roman" w:hAnsi="Times New Roman" w:cs="Times New Roman"/>
          <w:b/>
          <w:sz w:val="24"/>
          <w:szCs w:val="24"/>
        </w:rPr>
      </w:pPr>
      <w:r w:rsidRPr="00037C0B">
        <w:rPr>
          <w:rFonts w:ascii="Times New Roman" w:hAnsi="Times New Roman" w:cs="Times New Roman"/>
          <w:b/>
          <w:sz w:val="24"/>
          <w:szCs w:val="24"/>
        </w:rPr>
        <w:t>SOGEP UYGULAMA SÜRECİ</w:t>
      </w:r>
    </w:p>
    <w:p w:rsidR="00037C0B" w:rsidRPr="006E7B2A" w:rsidRDefault="00D858E1" w:rsidP="006E7B2A">
      <w:pPr>
        <w:spacing w:line="240" w:lineRule="auto"/>
        <w:jc w:val="both"/>
        <w:rPr>
          <w:rFonts w:ascii="Times New Roman" w:hAnsi="Times New Roman" w:cs="Times New Roman"/>
          <w:sz w:val="24"/>
          <w:szCs w:val="24"/>
        </w:rPr>
      </w:pPr>
      <w:r w:rsidRPr="00513544">
        <w:rPr>
          <w:rFonts w:ascii="Times New Roman" w:hAnsi="Times New Roman" w:cs="Times New Roman"/>
          <w:sz w:val="24"/>
          <w:szCs w:val="24"/>
        </w:rPr>
        <w:t xml:space="preserve">Ajansımız tarafından SOGEP proje başvuru süreci iki aşamalı olarak yürütülecektir. Ön başvuru aşaması kapsamında proje fikrinin ortaya konduğu </w:t>
      </w:r>
      <w:r w:rsidRPr="000E5BA4">
        <w:rPr>
          <w:rFonts w:ascii="Times New Roman" w:hAnsi="Times New Roman" w:cs="Times New Roman"/>
          <w:b/>
          <w:sz w:val="24"/>
          <w:szCs w:val="24"/>
          <w:u w:val="single"/>
        </w:rPr>
        <w:t xml:space="preserve">SOGEP Proje </w:t>
      </w:r>
      <w:r w:rsidR="006E7B2A" w:rsidRPr="000E5BA4">
        <w:rPr>
          <w:rFonts w:ascii="Times New Roman" w:hAnsi="Times New Roman" w:cs="Times New Roman"/>
          <w:b/>
          <w:sz w:val="24"/>
          <w:szCs w:val="24"/>
          <w:u w:val="single"/>
        </w:rPr>
        <w:t>Öneri</w:t>
      </w:r>
      <w:r w:rsidRPr="000E5BA4">
        <w:rPr>
          <w:rFonts w:ascii="Times New Roman" w:hAnsi="Times New Roman" w:cs="Times New Roman"/>
          <w:b/>
          <w:sz w:val="24"/>
          <w:szCs w:val="24"/>
          <w:u w:val="single"/>
        </w:rPr>
        <w:t xml:space="preserve"> Formu’nun</w:t>
      </w:r>
      <w:r w:rsidRPr="00513544">
        <w:rPr>
          <w:rFonts w:ascii="Times New Roman" w:hAnsi="Times New Roman" w:cs="Times New Roman"/>
          <w:sz w:val="24"/>
          <w:szCs w:val="24"/>
        </w:rPr>
        <w:t xml:space="preserve"> doldurularak </w:t>
      </w:r>
      <w:r w:rsidRPr="000E5BA4">
        <w:rPr>
          <w:rFonts w:ascii="Times New Roman" w:hAnsi="Times New Roman" w:cs="Times New Roman"/>
          <w:b/>
          <w:sz w:val="24"/>
          <w:szCs w:val="24"/>
          <w:u w:val="single"/>
        </w:rPr>
        <w:t xml:space="preserve">en geç 3 </w:t>
      </w:r>
      <w:r w:rsidR="00BE4117" w:rsidRPr="000E5BA4">
        <w:rPr>
          <w:rFonts w:ascii="Times New Roman" w:hAnsi="Times New Roman" w:cs="Times New Roman"/>
          <w:b/>
          <w:sz w:val="24"/>
          <w:szCs w:val="24"/>
          <w:u w:val="single"/>
        </w:rPr>
        <w:t>Şubat</w:t>
      </w:r>
      <w:r w:rsidRPr="000E5BA4">
        <w:rPr>
          <w:rFonts w:ascii="Times New Roman" w:hAnsi="Times New Roman" w:cs="Times New Roman"/>
          <w:b/>
          <w:sz w:val="24"/>
          <w:szCs w:val="24"/>
          <w:u w:val="single"/>
        </w:rPr>
        <w:t xml:space="preserve"> 202</w:t>
      </w:r>
      <w:r w:rsidR="00BE4117" w:rsidRPr="000E5BA4">
        <w:rPr>
          <w:rFonts w:ascii="Times New Roman" w:hAnsi="Times New Roman" w:cs="Times New Roman"/>
          <w:b/>
          <w:sz w:val="24"/>
          <w:szCs w:val="24"/>
          <w:u w:val="single"/>
        </w:rPr>
        <w:t>3</w:t>
      </w:r>
      <w:r>
        <w:rPr>
          <w:rFonts w:ascii="Times New Roman" w:hAnsi="Times New Roman" w:cs="Times New Roman"/>
          <w:sz w:val="24"/>
          <w:szCs w:val="24"/>
        </w:rPr>
        <w:t xml:space="preserve"> tarihine kadar </w:t>
      </w:r>
      <w:r w:rsidR="00BE4117" w:rsidRPr="000E5BA4">
        <w:rPr>
          <w:rFonts w:ascii="Times New Roman" w:hAnsi="Times New Roman" w:cs="Times New Roman"/>
          <w:b/>
          <w:sz w:val="24"/>
          <w:szCs w:val="24"/>
        </w:rPr>
        <w:t>sogep</w:t>
      </w:r>
      <w:r w:rsidRPr="000E5BA4">
        <w:rPr>
          <w:rFonts w:ascii="Times New Roman" w:hAnsi="Times New Roman" w:cs="Times New Roman"/>
          <w:b/>
          <w:sz w:val="24"/>
          <w:szCs w:val="24"/>
        </w:rPr>
        <w:t>@ika.org.tr</w:t>
      </w:r>
      <w:r w:rsidRPr="00513544">
        <w:rPr>
          <w:rFonts w:ascii="Times New Roman" w:hAnsi="Times New Roman" w:cs="Times New Roman"/>
          <w:sz w:val="24"/>
          <w:szCs w:val="24"/>
        </w:rPr>
        <w:t xml:space="preserve"> adresine e-posta ile gönderilmesi gerekmektedir. </w:t>
      </w:r>
      <w:r>
        <w:rPr>
          <w:rFonts w:ascii="Times New Roman" w:hAnsi="Times New Roman" w:cs="Times New Roman"/>
          <w:sz w:val="24"/>
          <w:szCs w:val="24"/>
        </w:rPr>
        <w:t>A</w:t>
      </w:r>
      <w:r w:rsidR="000A7C51">
        <w:rPr>
          <w:rFonts w:ascii="Times New Roman" w:hAnsi="Times New Roman" w:cs="Times New Roman"/>
          <w:sz w:val="24"/>
          <w:szCs w:val="24"/>
        </w:rPr>
        <w:t>j</w:t>
      </w:r>
      <w:r w:rsidR="009D66C0">
        <w:rPr>
          <w:rFonts w:ascii="Times New Roman" w:hAnsi="Times New Roman" w:cs="Times New Roman"/>
          <w:sz w:val="24"/>
          <w:szCs w:val="24"/>
        </w:rPr>
        <w:t xml:space="preserve">ans, </w:t>
      </w:r>
      <w:r w:rsidR="006E7B2A">
        <w:rPr>
          <w:rFonts w:ascii="Times New Roman" w:hAnsi="Times New Roman" w:cs="Times New Roman"/>
          <w:sz w:val="24"/>
          <w:szCs w:val="24"/>
        </w:rPr>
        <w:t>proje fikirleri</w:t>
      </w:r>
      <w:r w:rsidR="009D66C0">
        <w:rPr>
          <w:rFonts w:ascii="Times New Roman" w:hAnsi="Times New Roman" w:cs="Times New Roman"/>
          <w:sz w:val="24"/>
          <w:szCs w:val="24"/>
        </w:rPr>
        <w:t xml:space="preserve">ni; </w:t>
      </w:r>
      <w:r w:rsidR="006E7B2A">
        <w:rPr>
          <w:rFonts w:ascii="Times New Roman" w:hAnsi="Times New Roman" w:cs="Times New Roman"/>
          <w:sz w:val="24"/>
          <w:szCs w:val="24"/>
        </w:rPr>
        <w:t>niteliği,</w:t>
      </w:r>
      <w:r w:rsidR="009D66C0">
        <w:rPr>
          <w:rFonts w:ascii="Times New Roman" w:hAnsi="Times New Roman" w:cs="Times New Roman"/>
          <w:sz w:val="24"/>
          <w:szCs w:val="24"/>
        </w:rPr>
        <w:t xml:space="preserve"> yapılabilirliği, program ile ilgililiği ve projenin faydalanıcıları</w:t>
      </w:r>
      <w:r w:rsidR="006E7B2A">
        <w:rPr>
          <w:rFonts w:ascii="Times New Roman" w:hAnsi="Times New Roman" w:cs="Times New Roman"/>
          <w:sz w:val="24"/>
          <w:szCs w:val="24"/>
        </w:rPr>
        <w:t xml:space="preserve"> </w:t>
      </w:r>
      <w:r>
        <w:rPr>
          <w:rFonts w:ascii="Times New Roman" w:hAnsi="Times New Roman" w:cs="Times New Roman"/>
          <w:sz w:val="24"/>
          <w:szCs w:val="24"/>
        </w:rPr>
        <w:t xml:space="preserve">kriterleri çerçevesinde </w:t>
      </w:r>
      <w:r w:rsidR="006E7B2A">
        <w:rPr>
          <w:rFonts w:ascii="Times New Roman" w:hAnsi="Times New Roman" w:cs="Times New Roman"/>
          <w:sz w:val="24"/>
          <w:szCs w:val="24"/>
        </w:rPr>
        <w:t xml:space="preserve">100 puan üzerinden </w:t>
      </w:r>
      <w:r w:rsidR="009D66C0">
        <w:rPr>
          <w:rFonts w:ascii="Times New Roman" w:hAnsi="Times New Roman" w:cs="Times New Roman"/>
          <w:sz w:val="24"/>
          <w:szCs w:val="24"/>
        </w:rPr>
        <w:t>değerlendirme yap</w:t>
      </w:r>
      <w:r w:rsidR="006E7B2A">
        <w:rPr>
          <w:rFonts w:ascii="Times New Roman" w:hAnsi="Times New Roman" w:cs="Times New Roman"/>
          <w:sz w:val="24"/>
          <w:szCs w:val="24"/>
        </w:rPr>
        <w:t>acaktır. B</w:t>
      </w:r>
      <w:r w:rsidR="000A7C51">
        <w:rPr>
          <w:rFonts w:ascii="Times New Roman" w:hAnsi="Times New Roman" w:cs="Times New Roman"/>
          <w:sz w:val="24"/>
          <w:szCs w:val="24"/>
        </w:rPr>
        <w:t>u</w:t>
      </w:r>
      <w:r>
        <w:rPr>
          <w:rFonts w:ascii="Times New Roman" w:hAnsi="Times New Roman" w:cs="Times New Roman"/>
          <w:sz w:val="24"/>
          <w:szCs w:val="24"/>
        </w:rPr>
        <w:t xml:space="preserve"> değerlendirme</w:t>
      </w:r>
      <w:r w:rsidR="006E7B2A">
        <w:rPr>
          <w:rFonts w:ascii="Times New Roman" w:hAnsi="Times New Roman" w:cs="Times New Roman"/>
          <w:sz w:val="24"/>
          <w:szCs w:val="24"/>
        </w:rPr>
        <w:t xml:space="preserve">lerde 70 ve üzeri puan alan proje fikirlerinden </w:t>
      </w:r>
      <w:r>
        <w:rPr>
          <w:rFonts w:ascii="Times New Roman" w:hAnsi="Times New Roman" w:cs="Times New Roman"/>
          <w:sz w:val="24"/>
          <w:szCs w:val="24"/>
        </w:rPr>
        <w:t xml:space="preserve">kısa bir liste oluşturulacaktır. </w:t>
      </w:r>
      <w:r w:rsidR="000A7C51">
        <w:rPr>
          <w:rFonts w:ascii="Times New Roman" w:hAnsi="Times New Roman" w:cs="Times New Roman"/>
          <w:sz w:val="24"/>
          <w:szCs w:val="24"/>
        </w:rPr>
        <w:t>Kısa listeye alınan</w:t>
      </w:r>
      <w:r w:rsidRPr="00513544">
        <w:rPr>
          <w:rFonts w:ascii="Times New Roman" w:hAnsi="Times New Roman" w:cs="Times New Roman"/>
          <w:sz w:val="24"/>
          <w:szCs w:val="24"/>
        </w:rPr>
        <w:t xml:space="preserve"> proje fikirleri nihai başvuru aşamasına </w:t>
      </w:r>
      <w:r w:rsidR="00082942">
        <w:rPr>
          <w:rFonts w:ascii="Times New Roman" w:hAnsi="Times New Roman" w:cs="Times New Roman"/>
          <w:sz w:val="24"/>
          <w:szCs w:val="24"/>
        </w:rPr>
        <w:t>geçecektir. B</w:t>
      </w:r>
      <w:r w:rsidRPr="00513544">
        <w:rPr>
          <w:rFonts w:ascii="Times New Roman" w:hAnsi="Times New Roman" w:cs="Times New Roman"/>
          <w:sz w:val="24"/>
          <w:szCs w:val="24"/>
        </w:rPr>
        <w:t>u noktadan sonra proje geliştirme çalışmaları doğrudan Ajansımızın koordinasyonunda yapılacaktır</w:t>
      </w:r>
      <w:r>
        <w:rPr>
          <w:rFonts w:ascii="Times New Roman" w:hAnsi="Times New Roman" w:cs="Times New Roman"/>
          <w:sz w:val="24"/>
          <w:szCs w:val="24"/>
        </w:rPr>
        <w:t>.</w:t>
      </w:r>
    </w:p>
    <w:p w:rsidR="00037C0B" w:rsidRPr="007F7115" w:rsidRDefault="00037C0B" w:rsidP="00037C0B">
      <w:pPr>
        <w:spacing w:line="240" w:lineRule="auto"/>
        <w:jc w:val="center"/>
        <w:rPr>
          <w:rFonts w:ascii="Times New Roman" w:hAnsi="Times New Roman" w:cs="Times New Roman"/>
          <w:b/>
          <w:sz w:val="24"/>
          <w:szCs w:val="24"/>
        </w:rPr>
      </w:pPr>
      <w:r w:rsidRPr="007F7115">
        <w:rPr>
          <w:rFonts w:ascii="Times New Roman" w:hAnsi="Times New Roman" w:cs="Times New Roman"/>
          <w:b/>
          <w:sz w:val="24"/>
          <w:szCs w:val="24"/>
        </w:rPr>
        <w:t>PROGRAMA İLİŞKİN</w:t>
      </w:r>
      <w:r w:rsidR="000A7C51">
        <w:rPr>
          <w:rFonts w:ascii="Times New Roman" w:hAnsi="Times New Roman" w:cs="Times New Roman"/>
          <w:b/>
          <w:sz w:val="24"/>
          <w:szCs w:val="24"/>
        </w:rPr>
        <w:t xml:space="preserve"> DİĞER HUSUSLAR</w:t>
      </w:r>
    </w:p>
    <w:p w:rsidR="006E7B2A" w:rsidRDefault="00D858E1" w:rsidP="00513544">
      <w:pPr>
        <w:pStyle w:val="ListeParagraf"/>
        <w:numPr>
          <w:ilvl w:val="0"/>
          <w:numId w:val="10"/>
        </w:numPr>
        <w:jc w:val="both"/>
      </w:pPr>
      <w:r w:rsidRPr="00037C0B">
        <w:t>Proje</w:t>
      </w:r>
      <w:r w:rsidR="000A7C51">
        <w:t xml:space="preserve"> fikirleri</w:t>
      </w:r>
      <w:r w:rsidRPr="00037C0B">
        <w:t xml:space="preserve"> </w:t>
      </w:r>
      <w:r w:rsidR="00037C0B" w:rsidRPr="00037C0B">
        <w:t xml:space="preserve">ilk etapta </w:t>
      </w:r>
      <w:r w:rsidR="000A7C51">
        <w:t>program ile ilgililiği, yapılabilirliği ve proje faydalanıcıları kriterleri</w:t>
      </w:r>
      <w:r w:rsidR="00037C0B" w:rsidRPr="00037C0B">
        <w:t xml:space="preserve"> çerçevesinde</w:t>
      </w:r>
      <w:r w:rsidR="009D66C0">
        <w:t xml:space="preserve"> değerlendirilecektir</w:t>
      </w:r>
      <w:r w:rsidR="00037C0B" w:rsidRPr="00037C0B">
        <w:t xml:space="preserve">. </w:t>
      </w:r>
    </w:p>
    <w:p w:rsidR="00037C0B" w:rsidRDefault="000A7C51" w:rsidP="00513544">
      <w:pPr>
        <w:pStyle w:val="ListeParagraf"/>
        <w:numPr>
          <w:ilvl w:val="0"/>
          <w:numId w:val="10"/>
        </w:numPr>
        <w:jc w:val="both"/>
      </w:pPr>
      <w:r>
        <w:t>Kısa listeye alınan proje fikirleri</w:t>
      </w:r>
      <w:r w:rsidR="005853D5">
        <w:t>,</w:t>
      </w:r>
      <w:r w:rsidR="006E7B2A">
        <w:t xml:space="preserve"> proje geliştirme süreci sonunda</w:t>
      </w:r>
      <w:r w:rsidR="00037C0B" w:rsidRPr="00037C0B">
        <w:t xml:space="preserve"> </w:t>
      </w:r>
      <w:r>
        <w:t xml:space="preserve">ilgililik, yöntem, </w:t>
      </w:r>
      <w:r w:rsidR="00D858E1" w:rsidRPr="00037C0B">
        <w:t>kurumsal ka</w:t>
      </w:r>
      <w:r w:rsidR="00037C0B" w:rsidRPr="00037C0B">
        <w:t xml:space="preserve">pasite ve sürdürülebilirlik </w:t>
      </w:r>
      <w:r>
        <w:t xml:space="preserve">ana </w:t>
      </w:r>
      <w:r w:rsidR="00D858E1" w:rsidRPr="00037C0B">
        <w:t>kriterl</w:t>
      </w:r>
      <w:r w:rsidR="00082942">
        <w:t>eri çerçevesinde değerlendirilecektir.</w:t>
      </w:r>
    </w:p>
    <w:p w:rsidR="00037C0B" w:rsidRDefault="00D858E1" w:rsidP="00513544">
      <w:pPr>
        <w:pStyle w:val="ListeParagraf"/>
        <w:numPr>
          <w:ilvl w:val="0"/>
          <w:numId w:val="10"/>
        </w:numPr>
        <w:jc w:val="both"/>
      </w:pPr>
      <w:r w:rsidRPr="00037C0B">
        <w:t>Program dâhilinde, kapasite geliştirmeye dönük, sosyal etki düzeyi yüksek, özel niteli</w:t>
      </w:r>
      <w:r w:rsidR="00037C0B">
        <w:t>kli model projeler desteklenir.</w:t>
      </w:r>
    </w:p>
    <w:p w:rsidR="00037C0B" w:rsidRDefault="00D858E1" w:rsidP="00513544">
      <w:pPr>
        <w:pStyle w:val="ListeParagraf"/>
        <w:numPr>
          <w:ilvl w:val="0"/>
          <w:numId w:val="10"/>
        </w:numPr>
        <w:jc w:val="both"/>
      </w:pPr>
      <w:r w:rsidRPr="00037C0B">
        <w:t>Proje değerlendirmesinde sosyo-ekonomik gelişmişlik bakımından daha alt düzeyde yer a</w:t>
      </w:r>
      <w:r w:rsidR="00037C0B">
        <w:t>lan il ve ilçeler önceliklidir.</w:t>
      </w:r>
    </w:p>
    <w:p w:rsidR="00037C0B" w:rsidRDefault="00D858E1" w:rsidP="00513544">
      <w:pPr>
        <w:pStyle w:val="ListeParagraf"/>
        <w:numPr>
          <w:ilvl w:val="0"/>
          <w:numId w:val="10"/>
        </w:numPr>
        <w:jc w:val="both"/>
      </w:pPr>
      <w:r w:rsidRPr="00037C0B">
        <w:t xml:space="preserve">Genç, kadın ve engellilerin istihdamını hedefleyen, yenilikçilik, ortaklık ve iş birliği boyutu güçlü projelere öncelik verilir. </w:t>
      </w:r>
    </w:p>
    <w:p w:rsidR="000E5BA4" w:rsidRDefault="000E5BA4" w:rsidP="00513544">
      <w:pPr>
        <w:pStyle w:val="ListeParagraf"/>
        <w:numPr>
          <w:ilvl w:val="0"/>
          <w:numId w:val="10"/>
        </w:numPr>
        <w:jc w:val="both"/>
      </w:pPr>
      <w:r>
        <w:t>Doğrudan sosyal sorumluluk projesi olmasa da özel sektörün içerisinde yer aldığı ve nakdi eş finansman katkısı sunmayı taahhüt ettiği projelere öncelik verilir.</w:t>
      </w:r>
    </w:p>
    <w:p w:rsidR="000E5BA4" w:rsidRDefault="000E5BA4" w:rsidP="00513544">
      <w:pPr>
        <w:pStyle w:val="ListeParagraf"/>
        <w:numPr>
          <w:ilvl w:val="0"/>
          <w:numId w:val="10"/>
        </w:numPr>
        <w:jc w:val="both"/>
      </w:pPr>
      <w:r>
        <w:t>Proje kapsamında kullanılması öngörülen fiziksel mekanın sıfırdan bir inşaat yerine atıl kamu binalarının değerlendirilerek karşılanmasını öngören projelere öncelik verilir.</w:t>
      </w:r>
    </w:p>
    <w:p w:rsidR="00D858E1" w:rsidRDefault="00D858E1" w:rsidP="00513544">
      <w:pPr>
        <w:pStyle w:val="ListeParagraf"/>
        <w:numPr>
          <w:ilvl w:val="0"/>
          <w:numId w:val="10"/>
        </w:numPr>
        <w:jc w:val="both"/>
      </w:pPr>
      <w:r w:rsidRPr="00037C0B">
        <w:t xml:space="preserve">Nakdi eş finansmanı olan projelere öncelik verilecektir. </w:t>
      </w:r>
    </w:p>
    <w:p w:rsidR="007F7115" w:rsidRPr="00037C0B" w:rsidRDefault="007F7115" w:rsidP="007F7115">
      <w:pPr>
        <w:pStyle w:val="ListeParagraf"/>
        <w:jc w:val="both"/>
      </w:pPr>
    </w:p>
    <w:p w:rsidR="00037C0B" w:rsidRDefault="00037C0B" w:rsidP="00513544">
      <w:pPr>
        <w:spacing w:line="240" w:lineRule="auto"/>
        <w:jc w:val="both"/>
        <w:rPr>
          <w:rFonts w:ascii="Times New Roman" w:hAnsi="Times New Roman" w:cs="Times New Roman"/>
          <w:sz w:val="24"/>
          <w:szCs w:val="24"/>
        </w:rPr>
      </w:pPr>
      <w:r w:rsidRPr="007F7115">
        <w:rPr>
          <w:rFonts w:ascii="Times New Roman" w:hAnsi="Times New Roman" w:cs="Times New Roman"/>
          <w:b/>
          <w:sz w:val="24"/>
          <w:szCs w:val="24"/>
        </w:rPr>
        <w:t>UYARI:</w:t>
      </w:r>
      <w:r>
        <w:rPr>
          <w:rFonts w:ascii="Times New Roman" w:hAnsi="Times New Roman" w:cs="Times New Roman"/>
          <w:sz w:val="24"/>
          <w:szCs w:val="24"/>
        </w:rPr>
        <w:t xml:space="preserve"> Program kapsamında aşağıdaki nitelikteki projeler desteklenmez:</w:t>
      </w:r>
    </w:p>
    <w:p w:rsidR="00D55490" w:rsidRDefault="00D858E1" w:rsidP="00037C0B">
      <w:pPr>
        <w:pStyle w:val="ListeParagraf"/>
        <w:numPr>
          <w:ilvl w:val="0"/>
          <w:numId w:val="11"/>
        </w:numPr>
        <w:jc w:val="both"/>
      </w:pPr>
      <w:r w:rsidRPr="00037C0B">
        <w:t>Temel sosyal hizmet sunum</w:t>
      </w:r>
      <w:r w:rsidR="00D55490">
        <w:t xml:space="preserve">una yönelik projeler, </w:t>
      </w:r>
    </w:p>
    <w:p w:rsidR="00D55490" w:rsidRDefault="00D55490" w:rsidP="00037C0B">
      <w:pPr>
        <w:pStyle w:val="ListeParagraf"/>
        <w:numPr>
          <w:ilvl w:val="0"/>
          <w:numId w:val="11"/>
        </w:numPr>
        <w:jc w:val="both"/>
      </w:pPr>
      <w:r>
        <w:t>Y</w:t>
      </w:r>
      <w:r w:rsidR="00D858E1" w:rsidRPr="00037C0B">
        <w:t xml:space="preserve">urtdışı gezi ile yurtdışı seminer, konferans, eğitim vb. faaliyetleri içeren </w:t>
      </w:r>
      <w:r>
        <w:t>kalemler</w:t>
      </w:r>
      <w:r w:rsidR="00D858E1" w:rsidRPr="00037C0B">
        <w:t xml:space="preserve">, </w:t>
      </w:r>
    </w:p>
    <w:p w:rsidR="00D55490" w:rsidRDefault="00D858E1" w:rsidP="00037C0B">
      <w:pPr>
        <w:pStyle w:val="ListeParagraf"/>
        <w:numPr>
          <w:ilvl w:val="0"/>
          <w:numId w:val="11"/>
        </w:numPr>
        <w:jc w:val="both"/>
      </w:pPr>
      <w:r w:rsidRPr="00037C0B">
        <w:t xml:space="preserve">Sosyal yardım ve nakdi sosyal transfer mahiyetindeki unsurlar içeren projeler, </w:t>
      </w:r>
    </w:p>
    <w:p w:rsidR="00D55490" w:rsidRDefault="00D858E1" w:rsidP="00037C0B">
      <w:pPr>
        <w:pStyle w:val="ListeParagraf"/>
        <w:numPr>
          <w:ilvl w:val="0"/>
          <w:numId w:val="11"/>
        </w:numPr>
        <w:jc w:val="both"/>
      </w:pPr>
      <w:r w:rsidRPr="00037C0B">
        <w:lastRenderedPageBreak/>
        <w:t>Okul derslerini takviye amaçlı etüt faaliyetleri ve sınavlara hazırlı</w:t>
      </w:r>
      <w:r w:rsidR="00D55490">
        <w:t>k amacı taşıyan kurs projeleri,</w:t>
      </w:r>
    </w:p>
    <w:p w:rsidR="00D55490" w:rsidRDefault="00D55490" w:rsidP="00037C0B">
      <w:pPr>
        <w:pStyle w:val="ListeParagraf"/>
        <w:numPr>
          <w:ilvl w:val="0"/>
          <w:numId w:val="11"/>
        </w:numPr>
        <w:jc w:val="both"/>
      </w:pPr>
      <w:r>
        <w:t>Proje amaçları ile ilişkilendirilmemiş ve sürdürülebilirliği zayıf eğitim faaliyetlerine odaklanan projeler,</w:t>
      </w:r>
    </w:p>
    <w:p w:rsidR="00D55490" w:rsidRDefault="00D858E1" w:rsidP="00037C0B">
      <w:pPr>
        <w:pStyle w:val="ListeParagraf"/>
        <w:numPr>
          <w:ilvl w:val="0"/>
          <w:numId w:val="11"/>
        </w:numPr>
        <w:jc w:val="both"/>
      </w:pPr>
      <w:r w:rsidRPr="00037C0B">
        <w:t>Hâlihazırda başka bir kurum tarafından rutin olarak sunu</w:t>
      </w:r>
      <w:r w:rsidR="00D55490">
        <w:t>lan hizmetleri içeren projeler,</w:t>
      </w:r>
    </w:p>
    <w:p w:rsidR="000E5BA4" w:rsidRDefault="000E5BA4" w:rsidP="00037C0B">
      <w:pPr>
        <w:pStyle w:val="ListeParagraf"/>
        <w:numPr>
          <w:ilvl w:val="0"/>
          <w:numId w:val="11"/>
        </w:numPr>
        <w:jc w:val="both"/>
      </w:pPr>
      <w:r>
        <w:t>Hedef kitle ile faaliyetleri arasında ilişki kurulamayan projeler,</w:t>
      </w:r>
    </w:p>
    <w:p w:rsidR="000E5BA4" w:rsidRDefault="000E5BA4" w:rsidP="00037C0B">
      <w:pPr>
        <w:pStyle w:val="ListeParagraf"/>
        <w:numPr>
          <w:ilvl w:val="0"/>
          <w:numId w:val="11"/>
        </w:numPr>
        <w:jc w:val="both"/>
      </w:pPr>
      <w:r>
        <w:t>Sosyal sorunların tespiti ve bu sorunların çözümüne ilişkin sosyal araştırma, analiz ve raporlama faaliyetleri ile sınırlı projeler,</w:t>
      </w:r>
    </w:p>
    <w:p w:rsidR="007F7115" w:rsidRDefault="007F7115" w:rsidP="007F7115">
      <w:pPr>
        <w:pStyle w:val="ListeParagraf"/>
        <w:numPr>
          <w:ilvl w:val="0"/>
          <w:numId w:val="11"/>
        </w:numPr>
        <w:jc w:val="both"/>
      </w:pPr>
      <w:r>
        <w:t>P</w:t>
      </w:r>
      <w:r w:rsidRPr="007F7115">
        <w:t>rojelerde</w:t>
      </w:r>
      <w:r w:rsidR="006E7B2A">
        <w:t xml:space="preserve"> ye</w:t>
      </w:r>
      <w:r w:rsidRPr="007F7115">
        <w:t>n</w:t>
      </w:r>
      <w:r w:rsidR="006E7B2A">
        <w:t>i</w:t>
      </w:r>
      <w:r w:rsidRPr="007F7115">
        <w:t xml:space="preserve"> bir inşaat veya yapım işi desteklenmeyecektir. Bunun yerine atıl binalar basit tadilatlar yoluyla değerlendirilmelidir. Yapım işleri maliyeti proje toplam bütçesinin %30’unu geçmemelidir.</w:t>
      </w:r>
    </w:p>
    <w:p w:rsidR="00D858E1" w:rsidRPr="00037C0B" w:rsidRDefault="00D858E1" w:rsidP="00037C0B">
      <w:pPr>
        <w:pStyle w:val="ListeParagraf"/>
        <w:numPr>
          <w:ilvl w:val="0"/>
          <w:numId w:val="11"/>
        </w:numPr>
        <w:jc w:val="both"/>
      </w:pPr>
      <w:r w:rsidRPr="00037C0B">
        <w:t>Hâlihazırda başka bir finansman kaynağından desteklenen projeler Program kapsamında desteklenemez. Ancak, daha önce sosyal amaçlı olarak geliştirilmiş ve hayata geçirilmiş projelerin devamı niteliğinde tasarlanmış, tamamlayıcı özelliğe sahip yeni projeler Program kapsamında desteklenebilir. Ajans tarafından Program kapsamında kullanılmak şartıyla bağış kabul edilebilir</w:t>
      </w:r>
      <w:r w:rsidR="000E5BA4">
        <w:t>.</w:t>
      </w:r>
    </w:p>
    <w:p w:rsidR="00463E50" w:rsidRDefault="00463E50" w:rsidP="00513544">
      <w:pPr>
        <w:spacing w:line="240" w:lineRule="auto"/>
        <w:jc w:val="both"/>
        <w:rPr>
          <w:rFonts w:ascii="Times New Roman" w:hAnsi="Times New Roman" w:cs="Times New Roman"/>
          <w:sz w:val="24"/>
          <w:szCs w:val="24"/>
        </w:rPr>
      </w:pPr>
    </w:p>
    <w:sectPr w:rsidR="00463E50" w:rsidSect="00924EA6">
      <w:headerReference w:type="even" r:id="rId7"/>
      <w:headerReference w:type="default" r:id="rId8"/>
      <w:footerReference w:type="even" r:id="rId9"/>
      <w:footerReference w:type="default" r:id="rId10"/>
      <w:headerReference w:type="first" r:id="rId11"/>
      <w:footerReference w:type="first" r:id="rId12"/>
      <w:pgSz w:w="11906" w:h="16838"/>
      <w:pgMar w:top="1365" w:right="849"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C9" w:rsidRDefault="00E75BC9" w:rsidP="00662D69">
      <w:pPr>
        <w:spacing w:after="0" w:line="240" w:lineRule="auto"/>
      </w:pPr>
      <w:r>
        <w:separator/>
      </w:r>
    </w:p>
  </w:endnote>
  <w:endnote w:type="continuationSeparator" w:id="0">
    <w:p w:rsidR="00E75BC9" w:rsidRDefault="00E75BC9" w:rsidP="0066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5" w:rsidRDefault="00C768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67051"/>
      <w:docPartObj>
        <w:docPartGallery w:val="Page Numbers (Bottom of Page)"/>
        <w:docPartUnique/>
      </w:docPartObj>
    </w:sdtPr>
    <w:sdtEndPr/>
    <w:sdtContent>
      <w:sdt>
        <w:sdtPr>
          <w:id w:val="881214908"/>
          <w:docPartObj>
            <w:docPartGallery w:val="Page Numbers (Top of Page)"/>
            <w:docPartUnique/>
          </w:docPartObj>
        </w:sdtPr>
        <w:sdtEndPr/>
        <w:sdtContent>
          <w:p w:rsidR="00551446" w:rsidRDefault="0055144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F2C4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F2C4B">
              <w:rPr>
                <w:b/>
                <w:bCs/>
                <w:noProof/>
              </w:rPr>
              <w:t>3</w:t>
            </w:r>
            <w:r>
              <w:rPr>
                <w:b/>
                <w:bCs/>
                <w:sz w:val="24"/>
                <w:szCs w:val="24"/>
              </w:rPr>
              <w:fldChar w:fldCharType="end"/>
            </w:r>
          </w:p>
        </w:sdtContent>
      </w:sdt>
    </w:sdtContent>
  </w:sdt>
  <w:p w:rsidR="00662D69" w:rsidRPr="00662D69" w:rsidRDefault="00662D69" w:rsidP="00662D69">
    <w:pPr>
      <w:pStyle w:val="Altbilgi"/>
      <w:jc w:val="right"/>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5" w:rsidRDefault="00C768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C9" w:rsidRDefault="00E75BC9" w:rsidP="00662D69">
      <w:pPr>
        <w:spacing w:after="0" w:line="240" w:lineRule="auto"/>
      </w:pPr>
      <w:r>
        <w:separator/>
      </w:r>
    </w:p>
  </w:footnote>
  <w:footnote w:type="continuationSeparator" w:id="0">
    <w:p w:rsidR="00E75BC9" w:rsidRDefault="00E75BC9" w:rsidP="00662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5" w:rsidRDefault="00C768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69" w:rsidRDefault="00E75BC9" w:rsidP="00924EA6">
    <w:pPr>
      <w:pStyle w:val="stbilgi"/>
      <w:jc w:val="both"/>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63pt">
          <v:imagedata r:id="rId1" o:title="baslik copy"/>
        </v:shape>
      </w:pict>
    </w:r>
    <w:r w:rsidR="00551446">
      <w:rPr>
        <w:rFonts w:ascii="Times New Roman" w:hAnsi="Times New Roman" w:cs="Times New Roman"/>
        <w:b/>
        <w:noProof/>
        <w:sz w:val="24"/>
        <w:szCs w:val="24"/>
        <w:lang w:eastAsia="tr-T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5" w:rsidRDefault="00C768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D4E"/>
    <w:multiLevelType w:val="hybridMultilevel"/>
    <w:tmpl w:val="3F12E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9E7D59"/>
    <w:multiLevelType w:val="hybridMultilevel"/>
    <w:tmpl w:val="3968B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2D467B"/>
    <w:multiLevelType w:val="hybridMultilevel"/>
    <w:tmpl w:val="22BAB604"/>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3">
    <w:nsid w:val="17C50796"/>
    <w:multiLevelType w:val="hybridMultilevel"/>
    <w:tmpl w:val="6B1A3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507411"/>
    <w:multiLevelType w:val="hybridMultilevel"/>
    <w:tmpl w:val="DFB4B2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2013B7"/>
    <w:multiLevelType w:val="hybridMultilevel"/>
    <w:tmpl w:val="93F823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8D7EBF"/>
    <w:multiLevelType w:val="hybridMultilevel"/>
    <w:tmpl w:val="935EE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FB55F7"/>
    <w:multiLevelType w:val="hybridMultilevel"/>
    <w:tmpl w:val="3C0C1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B90F07"/>
    <w:multiLevelType w:val="hybridMultilevel"/>
    <w:tmpl w:val="63CAA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3B7471"/>
    <w:multiLevelType w:val="hybridMultilevel"/>
    <w:tmpl w:val="18106776"/>
    <w:lvl w:ilvl="0" w:tplc="08888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243C8A"/>
    <w:multiLevelType w:val="hybridMultilevel"/>
    <w:tmpl w:val="8A2AD124"/>
    <w:lvl w:ilvl="0" w:tplc="08F02924">
      <w:start w:val="1"/>
      <w:numFmt w:val="bullet"/>
      <w:lvlText w:val="•"/>
      <w:lvlJc w:val="left"/>
      <w:pPr>
        <w:tabs>
          <w:tab w:val="num" w:pos="1068"/>
        </w:tabs>
        <w:ind w:left="1068" w:hanging="360"/>
      </w:pPr>
      <w:rPr>
        <w:rFonts w:ascii="Arial" w:hAnsi="Arial" w:hint="default"/>
      </w:rPr>
    </w:lvl>
    <w:lvl w:ilvl="1" w:tplc="CFC2FD7E">
      <w:start w:val="1"/>
      <w:numFmt w:val="bullet"/>
      <w:lvlText w:val="•"/>
      <w:lvlJc w:val="left"/>
      <w:pPr>
        <w:tabs>
          <w:tab w:val="num" w:pos="1788"/>
        </w:tabs>
        <w:ind w:left="1788" w:hanging="360"/>
      </w:pPr>
      <w:rPr>
        <w:rFonts w:ascii="Arial" w:hAnsi="Arial" w:hint="default"/>
      </w:rPr>
    </w:lvl>
    <w:lvl w:ilvl="2" w:tplc="70445C4C" w:tentative="1">
      <w:start w:val="1"/>
      <w:numFmt w:val="bullet"/>
      <w:lvlText w:val="•"/>
      <w:lvlJc w:val="left"/>
      <w:pPr>
        <w:tabs>
          <w:tab w:val="num" w:pos="2508"/>
        </w:tabs>
        <w:ind w:left="2508" w:hanging="360"/>
      </w:pPr>
      <w:rPr>
        <w:rFonts w:ascii="Arial" w:hAnsi="Arial" w:hint="default"/>
      </w:rPr>
    </w:lvl>
    <w:lvl w:ilvl="3" w:tplc="6A1ACD94" w:tentative="1">
      <w:start w:val="1"/>
      <w:numFmt w:val="bullet"/>
      <w:lvlText w:val="•"/>
      <w:lvlJc w:val="left"/>
      <w:pPr>
        <w:tabs>
          <w:tab w:val="num" w:pos="3228"/>
        </w:tabs>
        <w:ind w:left="3228" w:hanging="360"/>
      </w:pPr>
      <w:rPr>
        <w:rFonts w:ascii="Arial" w:hAnsi="Arial" w:hint="default"/>
      </w:rPr>
    </w:lvl>
    <w:lvl w:ilvl="4" w:tplc="32987532" w:tentative="1">
      <w:start w:val="1"/>
      <w:numFmt w:val="bullet"/>
      <w:lvlText w:val="•"/>
      <w:lvlJc w:val="left"/>
      <w:pPr>
        <w:tabs>
          <w:tab w:val="num" w:pos="3948"/>
        </w:tabs>
        <w:ind w:left="3948" w:hanging="360"/>
      </w:pPr>
      <w:rPr>
        <w:rFonts w:ascii="Arial" w:hAnsi="Arial" w:hint="default"/>
      </w:rPr>
    </w:lvl>
    <w:lvl w:ilvl="5" w:tplc="797E4E98" w:tentative="1">
      <w:start w:val="1"/>
      <w:numFmt w:val="bullet"/>
      <w:lvlText w:val="•"/>
      <w:lvlJc w:val="left"/>
      <w:pPr>
        <w:tabs>
          <w:tab w:val="num" w:pos="4668"/>
        </w:tabs>
        <w:ind w:left="4668" w:hanging="360"/>
      </w:pPr>
      <w:rPr>
        <w:rFonts w:ascii="Arial" w:hAnsi="Arial" w:hint="default"/>
      </w:rPr>
    </w:lvl>
    <w:lvl w:ilvl="6" w:tplc="AAF4C78E" w:tentative="1">
      <w:start w:val="1"/>
      <w:numFmt w:val="bullet"/>
      <w:lvlText w:val="•"/>
      <w:lvlJc w:val="left"/>
      <w:pPr>
        <w:tabs>
          <w:tab w:val="num" w:pos="5388"/>
        </w:tabs>
        <w:ind w:left="5388" w:hanging="360"/>
      </w:pPr>
      <w:rPr>
        <w:rFonts w:ascii="Arial" w:hAnsi="Arial" w:hint="default"/>
      </w:rPr>
    </w:lvl>
    <w:lvl w:ilvl="7" w:tplc="424E238A" w:tentative="1">
      <w:start w:val="1"/>
      <w:numFmt w:val="bullet"/>
      <w:lvlText w:val="•"/>
      <w:lvlJc w:val="left"/>
      <w:pPr>
        <w:tabs>
          <w:tab w:val="num" w:pos="6108"/>
        </w:tabs>
        <w:ind w:left="6108" w:hanging="360"/>
      </w:pPr>
      <w:rPr>
        <w:rFonts w:ascii="Arial" w:hAnsi="Arial" w:hint="default"/>
      </w:rPr>
    </w:lvl>
    <w:lvl w:ilvl="8" w:tplc="A7726AB0" w:tentative="1">
      <w:start w:val="1"/>
      <w:numFmt w:val="bullet"/>
      <w:lvlText w:val="•"/>
      <w:lvlJc w:val="left"/>
      <w:pPr>
        <w:tabs>
          <w:tab w:val="num" w:pos="6828"/>
        </w:tabs>
        <w:ind w:left="6828" w:hanging="360"/>
      </w:pPr>
      <w:rPr>
        <w:rFonts w:ascii="Arial" w:hAnsi="Arial" w:hint="default"/>
      </w:rPr>
    </w:lvl>
  </w:abstractNum>
  <w:abstractNum w:abstractNumId="11">
    <w:nsid w:val="559F0623"/>
    <w:multiLevelType w:val="hybridMultilevel"/>
    <w:tmpl w:val="47CCB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94D7A3C"/>
    <w:multiLevelType w:val="hybridMultilevel"/>
    <w:tmpl w:val="5FF6D1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53445B"/>
    <w:multiLevelType w:val="hybridMultilevel"/>
    <w:tmpl w:val="149AB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A8308D"/>
    <w:multiLevelType w:val="hybridMultilevel"/>
    <w:tmpl w:val="AAA86C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78192F43"/>
    <w:multiLevelType w:val="hybridMultilevel"/>
    <w:tmpl w:val="9EA0F4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5"/>
  </w:num>
  <w:num w:numId="5">
    <w:abstractNumId w:val="8"/>
  </w:num>
  <w:num w:numId="6">
    <w:abstractNumId w:val="1"/>
  </w:num>
  <w:num w:numId="7">
    <w:abstractNumId w:val="12"/>
  </w:num>
  <w:num w:numId="8">
    <w:abstractNumId w:val="0"/>
  </w:num>
  <w:num w:numId="9">
    <w:abstractNumId w:val="4"/>
  </w:num>
  <w:num w:numId="10">
    <w:abstractNumId w:val="14"/>
  </w:num>
  <w:num w:numId="11">
    <w:abstractNumId w:val="16"/>
  </w:num>
  <w:num w:numId="12">
    <w:abstractNumId w:val="10"/>
  </w:num>
  <w:num w:numId="13">
    <w:abstractNumId w:val="9"/>
  </w:num>
  <w:num w:numId="14">
    <w:abstractNumId w:val="11"/>
  </w:num>
  <w:num w:numId="15">
    <w:abstractNumId w:val="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A3"/>
    <w:rsid w:val="000174F8"/>
    <w:rsid w:val="00037C0B"/>
    <w:rsid w:val="000614D2"/>
    <w:rsid w:val="00082942"/>
    <w:rsid w:val="000A7C51"/>
    <w:rsid w:val="000E5BA4"/>
    <w:rsid w:val="002435AF"/>
    <w:rsid w:val="0025425D"/>
    <w:rsid w:val="00366DDB"/>
    <w:rsid w:val="00463E50"/>
    <w:rsid w:val="004851FF"/>
    <w:rsid w:val="004912F2"/>
    <w:rsid w:val="00513544"/>
    <w:rsid w:val="00551446"/>
    <w:rsid w:val="005853D5"/>
    <w:rsid w:val="00614E27"/>
    <w:rsid w:val="00651C09"/>
    <w:rsid w:val="00662D69"/>
    <w:rsid w:val="006A7B9D"/>
    <w:rsid w:val="006E7B2A"/>
    <w:rsid w:val="00783B12"/>
    <w:rsid w:val="007F7115"/>
    <w:rsid w:val="00895046"/>
    <w:rsid w:val="008E13DE"/>
    <w:rsid w:val="00924EA6"/>
    <w:rsid w:val="009A4180"/>
    <w:rsid w:val="009D66C0"/>
    <w:rsid w:val="00A1538E"/>
    <w:rsid w:val="00A860A3"/>
    <w:rsid w:val="00AF2C4B"/>
    <w:rsid w:val="00BE4117"/>
    <w:rsid w:val="00C46BA4"/>
    <w:rsid w:val="00C76855"/>
    <w:rsid w:val="00D55490"/>
    <w:rsid w:val="00D858E1"/>
    <w:rsid w:val="00E06943"/>
    <w:rsid w:val="00E06BCC"/>
    <w:rsid w:val="00E75BC9"/>
    <w:rsid w:val="00E836F9"/>
    <w:rsid w:val="00EF4D51"/>
    <w:rsid w:val="00F41397"/>
    <w:rsid w:val="00FC0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FA5FC-5C4E-4050-A944-2A8E3DD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6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LİSTE PARAF,KODLAMA,ALT BAŞLIK"/>
    <w:basedOn w:val="Normal"/>
    <w:link w:val="ListeParagrafChar"/>
    <w:uiPriority w:val="34"/>
    <w:qFormat/>
    <w:rsid w:val="00662D69"/>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662D69"/>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62D69"/>
    <w:pPr>
      <w:tabs>
        <w:tab w:val="center" w:pos="4536"/>
        <w:tab w:val="right" w:pos="9072"/>
      </w:tabs>
      <w:spacing w:after="0" w:line="240" w:lineRule="auto"/>
    </w:pPr>
  </w:style>
  <w:style w:type="character" w:customStyle="1" w:styleId="stbilgiChar">
    <w:name w:val="Üstbilgi Char"/>
    <w:basedOn w:val="VarsaylanParagrafYazTipi"/>
    <w:link w:val="stbilgi"/>
    <w:rsid w:val="00662D69"/>
  </w:style>
  <w:style w:type="paragraph" w:styleId="Altbilgi">
    <w:name w:val="footer"/>
    <w:basedOn w:val="Normal"/>
    <w:link w:val="AltbilgiChar"/>
    <w:uiPriority w:val="99"/>
    <w:unhideWhenUsed/>
    <w:rsid w:val="00662D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2D69"/>
  </w:style>
  <w:style w:type="character" w:styleId="Kpr">
    <w:name w:val="Hyperlink"/>
    <w:basedOn w:val="VarsaylanParagrafYazTipi"/>
    <w:uiPriority w:val="99"/>
    <w:unhideWhenUsed/>
    <w:rsid w:val="000614D2"/>
    <w:rPr>
      <w:color w:val="0563C1" w:themeColor="hyperlink"/>
      <w:u w:val="single"/>
    </w:rPr>
  </w:style>
  <w:style w:type="paragraph" w:styleId="NormalWeb">
    <w:name w:val="Normal (Web)"/>
    <w:basedOn w:val="Normal"/>
    <w:uiPriority w:val="99"/>
    <w:semiHidden/>
    <w:unhideWhenUsed/>
    <w:rsid w:val="00783B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OKA</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DEMİR</dc:creator>
  <cp:keywords/>
  <dc:description/>
  <cp:lastModifiedBy>pinar duman</cp:lastModifiedBy>
  <cp:revision>2</cp:revision>
  <cp:lastPrinted>2020-02-26T06:32:00Z</cp:lastPrinted>
  <dcterms:created xsi:type="dcterms:W3CDTF">2023-01-20T10:22:00Z</dcterms:created>
  <dcterms:modified xsi:type="dcterms:W3CDTF">2023-01-20T10:22:00Z</dcterms:modified>
</cp:coreProperties>
</file>